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przyłączami </w:t>
      </w:r>
      <w:proofErr w:type="spellStart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nn</w:t>
      </w:r>
      <w:proofErr w:type="spellEnd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 na terenie Rejonu Energetycznego RE Żyrardów”</w:t>
      </w:r>
    </w:p>
    <w:p w14:paraId="1B809E0F" w14:textId="77777777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  <w:r w:rsidRPr="00B8642D">
        <w:rPr>
          <w:rFonts w:asciiTheme="minorHAnsi" w:hAnsiTheme="minorHAnsi" w:cstheme="minorHAnsi"/>
          <w:sz w:val="22"/>
          <w:szCs w:val="22"/>
        </w:rPr>
        <w:t>:</w:t>
      </w:r>
    </w:p>
    <w:p w14:paraId="699A2728" w14:textId="41B50766" w:rsidR="00923862" w:rsidRPr="00923862" w:rsidRDefault="00923862" w:rsidP="00923862">
      <w:pPr>
        <w:pStyle w:val="Akapitzlist"/>
        <w:spacing w:line="276" w:lineRule="auto"/>
        <w:jc w:val="center"/>
        <w:outlineLvl w:val="0"/>
        <w:rPr>
          <w:rFonts w:asciiTheme="minorHAnsi" w:hAnsiTheme="minorHAnsi" w:cstheme="minorHAnsi"/>
          <w:b/>
          <w:i/>
          <w:sz w:val="22"/>
          <w:szCs w:val="24"/>
        </w:rPr>
      </w:pPr>
      <w:r w:rsidRPr="00923862">
        <w:rPr>
          <w:rFonts w:asciiTheme="minorHAnsi" w:hAnsiTheme="minorHAnsi" w:cstheme="minorHAnsi"/>
          <w:b/>
          <w:i/>
          <w:sz w:val="22"/>
          <w:szCs w:val="24"/>
        </w:rPr>
        <w:t xml:space="preserve">Wymiana  istniejącej linii napowietrznej </w:t>
      </w:r>
      <w:proofErr w:type="spellStart"/>
      <w:r w:rsidRPr="00923862">
        <w:rPr>
          <w:rFonts w:asciiTheme="minorHAnsi" w:hAnsiTheme="minorHAnsi" w:cstheme="minorHAnsi"/>
          <w:b/>
          <w:i/>
          <w:sz w:val="22"/>
          <w:szCs w:val="24"/>
        </w:rPr>
        <w:t>n</w:t>
      </w:r>
      <w:r>
        <w:rPr>
          <w:rFonts w:asciiTheme="minorHAnsi" w:hAnsiTheme="minorHAnsi" w:cstheme="minorHAnsi"/>
          <w:b/>
          <w:i/>
          <w:sz w:val="22"/>
          <w:szCs w:val="24"/>
        </w:rPr>
        <w:t>N</w:t>
      </w:r>
      <w:proofErr w:type="spellEnd"/>
      <w:r w:rsidRPr="00923862">
        <w:rPr>
          <w:rFonts w:asciiTheme="minorHAnsi" w:hAnsiTheme="minorHAnsi" w:cstheme="minorHAnsi"/>
          <w:b/>
          <w:i/>
          <w:sz w:val="22"/>
          <w:szCs w:val="24"/>
        </w:rPr>
        <w:t xml:space="preserve"> wraz przyłączami </w:t>
      </w:r>
      <w:proofErr w:type="spellStart"/>
      <w:r w:rsidRPr="00923862">
        <w:rPr>
          <w:rFonts w:asciiTheme="minorHAnsi" w:hAnsiTheme="minorHAnsi" w:cstheme="minorHAnsi"/>
          <w:b/>
          <w:i/>
          <w:sz w:val="22"/>
          <w:szCs w:val="24"/>
        </w:rPr>
        <w:t>n</w:t>
      </w:r>
      <w:r>
        <w:rPr>
          <w:rFonts w:asciiTheme="minorHAnsi" w:hAnsiTheme="minorHAnsi" w:cstheme="minorHAnsi"/>
          <w:b/>
          <w:i/>
          <w:sz w:val="22"/>
          <w:szCs w:val="24"/>
        </w:rPr>
        <w:t>N</w:t>
      </w:r>
      <w:proofErr w:type="spellEnd"/>
      <w:r w:rsidRPr="00923862">
        <w:rPr>
          <w:rFonts w:asciiTheme="minorHAnsi" w:hAnsiTheme="minorHAnsi" w:cstheme="minorHAnsi"/>
          <w:b/>
          <w:i/>
          <w:sz w:val="22"/>
          <w:szCs w:val="24"/>
        </w:rPr>
        <w:t xml:space="preserve"> ze stacji i wymiana oświetlenia ulicznego ze stacji </w:t>
      </w:r>
      <w:r w:rsidR="00A365BD">
        <w:rPr>
          <w:rFonts w:asciiTheme="minorHAnsi" w:hAnsiTheme="minorHAnsi" w:cstheme="minorHAnsi"/>
          <w:b/>
          <w:i/>
          <w:sz w:val="22"/>
          <w:szCs w:val="24"/>
        </w:rPr>
        <w:t xml:space="preserve">Nowy Dwór Parcela </w:t>
      </w:r>
      <w:r w:rsidRPr="00923862">
        <w:rPr>
          <w:rFonts w:asciiTheme="minorHAnsi" w:hAnsiTheme="minorHAnsi" w:cstheme="minorHAnsi"/>
          <w:b/>
          <w:i/>
          <w:sz w:val="22"/>
          <w:szCs w:val="24"/>
        </w:rPr>
        <w:t xml:space="preserve"> (22-0</w:t>
      </w:r>
      <w:r w:rsidR="00A365BD">
        <w:rPr>
          <w:rFonts w:asciiTheme="minorHAnsi" w:hAnsiTheme="minorHAnsi" w:cstheme="minorHAnsi"/>
          <w:b/>
          <w:i/>
          <w:sz w:val="22"/>
          <w:szCs w:val="24"/>
        </w:rPr>
        <w:t>824</w:t>
      </w:r>
      <w:r w:rsidRPr="00923862">
        <w:rPr>
          <w:rFonts w:asciiTheme="minorHAnsi" w:hAnsiTheme="minorHAnsi" w:cstheme="minorHAnsi"/>
          <w:b/>
          <w:i/>
          <w:sz w:val="22"/>
          <w:szCs w:val="24"/>
        </w:rPr>
        <w:t>)</w:t>
      </w:r>
      <w:r w:rsidR="003906B5">
        <w:rPr>
          <w:rFonts w:asciiTheme="minorHAnsi" w:hAnsiTheme="minorHAnsi" w:cstheme="minorHAnsi"/>
          <w:b/>
          <w:i/>
          <w:sz w:val="22"/>
          <w:szCs w:val="24"/>
        </w:rPr>
        <w:t xml:space="preserve"> </w:t>
      </w:r>
      <w:r w:rsidR="003906B5" w:rsidRPr="003906B5">
        <w:rPr>
          <w:rFonts w:asciiTheme="minorHAnsi" w:hAnsiTheme="minorHAnsi" w:cstheme="minorHAnsi"/>
          <w:b/>
          <w:i/>
          <w:sz w:val="22"/>
          <w:szCs w:val="24"/>
        </w:rPr>
        <w:t xml:space="preserve">o łącznej długości </w:t>
      </w:r>
      <w:r w:rsidR="00A365BD">
        <w:rPr>
          <w:rFonts w:asciiTheme="minorHAnsi" w:hAnsiTheme="minorHAnsi" w:cstheme="minorHAnsi"/>
          <w:b/>
          <w:i/>
          <w:sz w:val="22"/>
          <w:szCs w:val="24"/>
        </w:rPr>
        <w:t>2,55</w:t>
      </w:r>
      <w:r w:rsidR="003906B5" w:rsidRPr="003906B5">
        <w:rPr>
          <w:rFonts w:asciiTheme="minorHAnsi" w:hAnsiTheme="minorHAnsi" w:cstheme="minorHAnsi"/>
          <w:b/>
          <w:i/>
          <w:sz w:val="22"/>
          <w:szCs w:val="24"/>
        </w:rPr>
        <w:t>km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445DED71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</w:t>
      </w:r>
      <w:r w:rsidR="00923862">
        <w:rPr>
          <w:rFonts w:ascii="Verdana" w:hAnsi="Verdana" w:cs="Calibri"/>
          <w:color w:val="000000" w:themeColor="text1"/>
          <w:sz w:val="18"/>
          <w:szCs w:val="18"/>
        </w:rPr>
        <w:t>,</w:t>
      </w:r>
    </w:p>
    <w:p w14:paraId="6E877CA5" w14:textId="3A854CB3" w:rsidR="00CB50AD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923862">
        <w:rPr>
          <w:rFonts w:ascii="Verdana" w:hAnsi="Verdana" w:cs="Calibri"/>
          <w:color w:val="000000" w:themeColor="text1"/>
          <w:sz w:val="18"/>
          <w:szCs w:val="18"/>
        </w:rPr>
        <w:t>,</w:t>
      </w:r>
    </w:p>
    <w:p w14:paraId="3DB83E45" w14:textId="2EE8A2A5" w:rsidR="00923862" w:rsidRPr="00D55F80" w:rsidRDefault="0092386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>
        <w:rPr>
          <w:rFonts w:ascii="Verdana" w:hAnsi="Verdana" w:cs="Calibri"/>
          <w:color w:val="000000" w:themeColor="text1"/>
          <w:sz w:val="18"/>
          <w:szCs w:val="18"/>
        </w:rPr>
        <w:t xml:space="preserve">Wymiana stanowisk słupowych zgodnie z dokumentacją projektową, </w:t>
      </w:r>
    </w:p>
    <w:p w14:paraId="5EC5B462" w14:textId="325CF108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F45A5E">
        <w:rPr>
          <w:rFonts w:ascii="Verdana" w:hAnsi="Verdana" w:cs="Calibri"/>
          <w:b/>
          <w:sz w:val="18"/>
          <w:szCs w:val="18"/>
        </w:rPr>
        <w:t>/</w:t>
      </w:r>
      <w:r w:rsidR="00F45A5E" w:rsidRPr="00F45A5E">
        <w:rPr>
          <w:rFonts w:ascii="Verdana" w:hAnsi="Verdana" w:cs="Calibri"/>
          <w:b/>
          <w:sz w:val="18"/>
          <w:szCs w:val="18"/>
        </w:rPr>
        <w:t xml:space="preserve"> </w:t>
      </w:r>
      <w:proofErr w:type="spellStart"/>
      <w:r w:rsidR="00F45A5E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45A5E" w:rsidRPr="005B1337">
        <w:rPr>
          <w:rFonts w:ascii="Verdana" w:hAnsi="Verdana" w:cs="Calibri"/>
          <w:b/>
          <w:sz w:val="18"/>
          <w:szCs w:val="18"/>
        </w:rPr>
        <w:t xml:space="preserve"> 4x</w:t>
      </w:r>
      <w:r w:rsidR="00F45A5E">
        <w:rPr>
          <w:rFonts w:ascii="Verdana" w:hAnsi="Verdana" w:cs="Calibri"/>
          <w:b/>
          <w:sz w:val="18"/>
          <w:szCs w:val="18"/>
        </w:rPr>
        <w:t>95</w:t>
      </w:r>
      <w:r w:rsidR="00F45A5E" w:rsidRPr="005B1337">
        <w:rPr>
          <w:rFonts w:ascii="Verdana" w:hAnsi="Verdana" w:cs="Calibri"/>
          <w:b/>
          <w:sz w:val="18"/>
          <w:szCs w:val="18"/>
        </w:rPr>
        <w:t xml:space="preserve"> mm</w:t>
      </w:r>
      <w:r w:rsidR="00F45A5E"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</w:p>
    <w:p w14:paraId="61A609E9" w14:textId="3CF4EDE8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Wymiana</w:t>
      </w:r>
      <w:r w:rsidR="00923862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5A9AAF0B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Wymiana</w:t>
      </w:r>
      <w:r w:rsidR="00923862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94B1399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A365BD">
        <w:rPr>
          <w:rFonts w:ascii="Verdana" w:hAnsi="Verdana"/>
          <w:b/>
          <w:bCs/>
          <w:sz w:val="18"/>
          <w:szCs w:val="18"/>
          <w:lang w:val="x-none" w:eastAsia="x-none"/>
        </w:rPr>
        <w:t xml:space="preserve">40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lastRenderedPageBreak/>
          <w:t>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8A70" w14:textId="77777777" w:rsidR="000300AF" w:rsidRDefault="00030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E250" w14:textId="77777777" w:rsidR="000300AF" w:rsidRDefault="00030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8F13" w14:textId="77777777" w:rsidR="000300AF" w:rsidRDefault="00030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8D342" w14:textId="77777777" w:rsidR="000300AF" w:rsidRDefault="000300AF" w:rsidP="000300AF">
          <w:pPr>
            <w:suppressAutoHyphens/>
            <w:ind w:left="317" w:right="187" w:firstLine="0"/>
            <w:jc w:val="left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300AF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0FA59544" w14:textId="4FC96D28" w:rsidR="00D55F80" w:rsidRPr="006B2C28" w:rsidRDefault="000300AF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300A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 w:rsidR="009919CE">
            <w:rPr>
              <w:rFonts w:asciiTheme="majorHAnsi" w:hAnsiTheme="majorHAnsi"/>
              <w:color w:val="000000" w:themeColor="text1"/>
              <w:sz w:val="14"/>
              <w:szCs w:val="18"/>
            </w:rPr>
            <w:t>część 1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3132" w14:textId="77777777" w:rsidR="000300AF" w:rsidRDefault="000300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0AF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4DF6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982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47673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6B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57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0F19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50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862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8A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19CE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5BD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04F0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42C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5A5E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cz 1 do SWZ.docx</dmsv2BaseFileName>
    <dmsv2BaseDisplayName xmlns="http://schemas.microsoft.com/sharepoint/v3">Załącznik nr 1.3  cz 1 do SWZ</dmsv2BaseDisplayName>
    <dmsv2SWPP2ObjectNumber xmlns="http://schemas.microsoft.com/sharepoint/v3">POST/DYS/OLD/GZ/04353/2025                        </dmsv2SWPP2ObjectNumber>
    <dmsv2SWPP2SumMD5 xmlns="http://schemas.microsoft.com/sharepoint/v3">eebf4f23134c7ddc3e98b4d763a350c1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23898882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JEUP5JKVCYQC-1440096624-10120</_dlc_DocId>
    <_dlc_DocIdUrl xmlns="a19cb1c7-c5c7-46d4-85ae-d83685407bba">
      <Url>https://swpp2.dms.gkpge.pl/sites/41/_layouts/15/DocIdRedir.aspx?ID=JEUP5JKVCYQC-1440096624-10120</Url>
      <Description>JEUP5JKVCYQC-1440096624-10120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4FD22C-E366-4846-B36F-C6CC8255A206}"/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1569</Words>
  <Characters>10998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13</cp:revision>
  <cp:lastPrinted>2011-10-20T15:55:00Z</cp:lastPrinted>
  <dcterms:created xsi:type="dcterms:W3CDTF">2025-10-28T08:54:00Z</dcterms:created>
  <dcterms:modified xsi:type="dcterms:W3CDTF">2025-12-02T15:19:00Z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e16a2cca-2f7f-4785-b4d1-763f962447d6</vt:lpwstr>
  </property>
</Properties>
</file>